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44"/>
          <w:szCs w:val="4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_GBK" w:hAnsi="方正小标宋_GBK" w:eastAsia="方正小标宋_GBK" w:cs="方正小标宋_GBK"/>
          <w:i w:val="0"/>
          <w:iCs w:val="0"/>
          <w:caps w:val="0"/>
          <w:color w:val="4B4B4B"/>
          <w:spacing w:val="0"/>
          <w:sz w:val="44"/>
          <w:szCs w:val="44"/>
        </w:rPr>
      </w:pPr>
      <w:r>
        <w:rPr>
          <w:rFonts w:hint="eastAsia" w:ascii="方正小标宋_GBK" w:hAnsi="方正小标宋_GBK" w:eastAsia="方正小标宋_GBK" w:cs="方正小标宋_GBK"/>
          <w:i w:val="0"/>
          <w:iCs w:val="0"/>
          <w:caps w:val="0"/>
          <w:color w:val="4B4B4B"/>
          <w:spacing w:val="0"/>
          <w:sz w:val="44"/>
          <w:szCs w:val="44"/>
        </w:rPr>
        <w:t>国务院学位委员会办公室公布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_GBK" w:hAnsi="方正小标宋_GBK" w:eastAsia="方正小标宋_GBK" w:cs="方正小标宋_GBK"/>
          <w:i w:val="0"/>
          <w:iCs w:val="0"/>
          <w:caps w:val="0"/>
          <w:color w:val="4B4B4B"/>
          <w:spacing w:val="0"/>
          <w:sz w:val="36"/>
          <w:szCs w:val="36"/>
        </w:rPr>
      </w:pPr>
      <w:r>
        <w:rPr>
          <w:rFonts w:hint="eastAsia" w:ascii="方正小标宋_GBK" w:hAnsi="方正小标宋_GBK" w:eastAsia="方正小标宋_GBK" w:cs="方正小标宋_GBK"/>
          <w:i w:val="0"/>
          <w:iCs w:val="0"/>
          <w:caps w:val="0"/>
          <w:color w:val="4B4B4B"/>
          <w:spacing w:val="0"/>
          <w:sz w:val="36"/>
          <w:szCs w:val="36"/>
        </w:rPr>
        <w:t>各专业学位类别的领域设置情况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2"/>
          <w:szCs w:val="32"/>
          <w:shd w:val="clear" w:fill="FFFFFF"/>
        </w:rPr>
      </w:pPr>
      <w:r>
        <w:rPr>
          <w:rFonts w:hint="eastAsia" w:ascii="微软雅黑" w:hAnsi="微软雅黑" w:eastAsia="微软雅黑" w:cs="微软雅黑"/>
          <w:i w:val="0"/>
          <w:iCs w:val="0"/>
          <w:caps w:val="0"/>
          <w:color w:val="4B4B4B"/>
          <w:spacing w:val="0"/>
          <w:sz w:val="24"/>
          <w:szCs w:val="24"/>
          <w:shd w:val="clear" w:fill="FFFFFF"/>
        </w:rPr>
        <w:t>2021-01-13　来源：教育部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 w:hAnsi="仿宋" w:eastAsia="仿宋" w:cs="仿宋"/>
          <w:i w:val="0"/>
          <w:iCs w:val="0"/>
          <w:caps w:val="0"/>
          <w:color w:val="4B4B4B"/>
          <w:spacing w:val="0"/>
          <w:sz w:val="32"/>
          <w:szCs w:val="32"/>
        </w:rPr>
      </w:pPr>
      <w:r>
        <w:rPr>
          <w:rFonts w:hint="eastAsia" w:ascii="仿宋" w:hAnsi="仿宋" w:eastAsia="仿宋" w:cs="仿宋"/>
          <w:i w:val="0"/>
          <w:iCs w:val="0"/>
          <w:caps w:val="0"/>
          <w:color w:val="4B4B4B"/>
          <w:spacing w:val="0"/>
          <w:sz w:val="32"/>
          <w:szCs w:val="32"/>
          <w:shd w:val="clear" w:fill="FFFFFF"/>
        </w:rPr>
        <w:t>近年来，随着我国经济社会发展和产业转型升级，行业企业对高层次应用型人才的需求更加旺盛，专业学位研究生教育发展备受社会关注。为方便社会各界了解高校专业学位发展情况、学生报考、用人部门查询，在各专业学位教育指导委员会报送的基础上，国务院学位委员会办公室汇总形成了各专业学位类别的领域设置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 w:hAnsi="仿宋" w:eastAsia="仿宋" w:cs="仿宋"/>
          <w:i w:val="0"/>
          <w:iCs w:val="0"/>
          <w:caps w:val="0"/>
          <w:color w:val="4B4B4B"/>
          <w:spacing w:val="0"/>
          <w:sz w:val="32"/>
          <w:szCs w:val="32"/>
        </w:rPr>
      </w:pPr>
      <w:r>
        <w:rPr>
          <w:rFonts w:hint="eastAsia" w:ascii="仿宋" w:hAnsi="仿宋" w:eastAsia="仿宋" w:cs="仿宋"/>
          <w:i w:val="0"/>
          <w:iCs w:val="0"/>
          <w:caps w:val="0"/>
          <w:color w:val="4B4B4B"/>
          <w:spacing w:val="0"/>
          <w:sz w:val="32"/>
          <w:szCs w:val="32"/>
          <w:shd w:val="clear" w:fill="FFFFFF"/>
        </w:rPr>
        <w:t>　　专业学位类别的领域设置主要分为两种情况，一种是下设了详细的领域，另一种是不分设领域。不分设领域的专业学位类别中，有的类别，如中医，在招生、培养中依习惯也采用了类似领域的办法，下设了中医内科学、中医外科学等，以更加凸显人才培养特色，但并未统一公布过领域；有的类别，如法律，把招生对象区分为法律（法学）和法律（非法学），但在人才培养目标上是一致的，并不属于领域设置范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仿宋" w:hAnsi="仿宋" w:eastAsia="仿宋" w:cs="仿宋"/>
          <w:i w:val="0"/>
          <w:iCs w:val="0"/>
          <w:caps w:val="0"/>
          <w:color w:val="4B4B4B"/>
          <w:spacing w:val="0"/>
          <w:sz w:val="32"/>
          <w:szCs w:val="32"/>
        </w:rPr>
      </w:pPr>
      <w:r>
        <w:rPr>
          <w:rFonts w:hint="eastAsia" w:ascii="仿宋" w:hAnsi="仿宋" w:eastAsia="仿宋" w:cs="仿宋"/>
          <w:i w:val="0"/>
          <w:iCs w:val="0"/>
          <w:caps w:val="0"/>
          <w:color w:val="4B4B4B"/>
          <w:spacing w:val="0"/>
          <w:sz w:val="32"/>
          <w:szCs w:val="32"/>
          <w:shd w:val="clear" w:fill="FFFFFF"/>
        </w:rPr>
        <w:t>　　下一步，国务院学位委员会办公室将组织各专业学位教育指导委员会立足社会发展需求和人才培养实际，编制发布指导性专业领域目录，推动专业学位研究生教育健康发展。</w:t>
      </w:r>
    </w:p>
    <w:p>
      <w:pPr>
        <w:widowControl/>
        <w:spacing w:line="560" w:lineRule="exact"/>
        <w:jc w:val="left"/>
        <w:textAlignment w:val="center"/>
        <w:rPr>
          <w:rFonts w:hint="eastAsia" w:ascii="仿宋" w:hAnsi="仿宋" w:eastAsia="仿宋" w:cs="仿宋"/>
          <w:color w:val="000000"/>
          <w:kern w:val="0"/>
          <w:sz w:val="32"/>
          <w:szCs w:val="32"/>
          <w:lang w:bidi="ar"/>
        </w:rPr>
      </w:pPr>
    </w:p>
    <w:p>
      <w:pPr>
        <w:widowControl/>
        <w:spacing w:line="560" w:lineRule="exact"/>
        <w:jc w:val="left"/>
        <w:textAlignment w:val="center"/>
        <w:rPr>
          <w:rFonts w:ascii="黑体" w:hAnsi="黑体" w:eastAsia="黑体" w:cs="方正小标宋简体"/>
          <w:color w:val="000000"/>
          <w:kern w:val="0"/>
          <w:sz w:val="28"/>
          <w:szCs w:val="28"/>
          <w:lang w:bidi="ar"/>
        </w:rPr>
      </w:pPr>
      <w:bookmarkStart w:id="0" w:name="_GoBack"/>
      <w:bookmarkEnd w:id="0"/>
      <w:r>
        <w:rPr>
          <w:rFonts w:hint="eastAsia" w:ascii="黑体" w:hAnsi="黑体" w:eastAsia="黑体" w:cs="方正小标宋简体"/>
          <w:color w:val="000000"/>
          <w:kern w:val="0"/>
          <w:sz w:val="28"/>
          <w:szCs w:val="28"/>
          <w:lang w:bidi="ar"/>
        </w:rPr>
        <w:t>附件：</w:t>
      </w:r>
    </w:p>
    <w:p>
      <w:pPr>
        <w:widowControl/>
        <w:spacing w:line="560" w:lineRule="exact"/>
        <w:jc w:val="left"/>
        <w:textAlignment w:val="center"/>
        <w:rPr>
          <w:rFonts w:ascii="黑体" w:hAnsi="黑体" w:eastAsia="黑体" w:cs="方正小标宋简体"/>
          <w:color w:val="000000"/>
          <w:kern w:val="0"/>
          <w:sz w:val="32"/>
          <w:szCs w:val="32"/>
          <w:lang w:bidi="ar"/>
        </w:rPr>
      </w:pPr>
    </w:p>
    <w:p>
      <w:pPr>
        <w:widowControl/>
        <w:spacing w:line="560" w:lineRule="exact"/>
        <w:jc w:val="center"/>
        <w:textAlignment w:val="center"/>
        <w:rPr>
          <w:rFonts w:ascii="方正小标宋简体" w:hAnsi="方正小标宋简体" w:eastAsia="方正小标宋简体" w:cs="方正小标宋简体"/>
          <w:color w:val="000000"/>
          <w:kern w:val="0"/>
          <w:sz w:val="40"/>
          <w:szCs w:val="40"/>
          <w:lang w:bidi="ar"/>
        </w:rPr>
      </w:pPr>
      <w:r>
        <w:rPr>
          <w:rFonts w:hint="eastAsia" w:ascii="方正小标宋简体" w:hAnsi="方正小标宋简体" w:eastAsia="方正小标宋简体" w:cs="方正小标宋简体"/>
          <w:color w:val="000000"/>
          <w:kern w:val="0"/>
          <w:sz w:val="40"/>
          <w:szCs w:val="40"/>
          <w:lang w:bidi="ar"/>
        </w:rPr>
        <w:t>各专业学位类别的领域设置情况</w:t>
      </w:r>
    </w:p>
    <w:p>
      <w:pPr>
        <w:widowControl/>
        <w:spacing w:line="560" w:lineRule="exact"/>
        <w:jc w:val="center"/>
        <w:textAlignment w:val="center"/>
        <w:rPr>
          <w:rFonts w:ascii="方正小标宋简体" w:hAnsi="方正小标宋简体" w:eastAsia="方正小标宋简体" w:cs="方正小标宋简体"/>
          <w:color w:val="000000"/>
          <w:kern w:val="0"/>
          <w:sz w:val="40"/>
          <w:szCs w:val="40"/>
          <w:lang w:bidi="ar"/>
        </w:rPr>
      </w:pP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ascii="Times New Roman" w:hAnsi="Times New Roman" w:eastAsia="方正小标宋简体" w:cs="Times New Roman"/>
          <w:b/>
          <w:bCs/>
          <w:color w:val="000000"/>
          <w:kern w:val="0"/>
          <w:sz w:val="32"/>
          <w:szCs w:val="32"/>
          <w:lang w:bidi="ar"/>
        </w:rPr>
        <w:t>0251</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金融</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黑体" w:hAnsi="黑体" w:eastAsia="黑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0252</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应用统计</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黑体" w:hAnsi="黑体" w:eastAsia="黑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0253</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税务</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黑体" w:hAnsi="黑体" w:eastAsia="黑体" w:cs="方正小标宋简体"/>
          <w:color w:val="000000"/>
          <w:kern w:val="0"/>
          <w:sz w:val="32"/>
          <w:szCs w:val="32"/>
          <w:lang w:bidi="ar"/>
        </w:rPr>
      </w:pPr>
      <w:r>
        <w:rPr>
          <w:rFonts w:ascii="Times New Roman" w:hAnsi="Times New Roman" w:eastAsia="方正小标宋简体" w:cs="Times New Roman"/>
          <w:b/>
          <w:bCs/>
          <w:color w:val="000000"/>
          <w:kern w:val="0"/>
          <w:sz w:val="32"/>
          <w:szCs w:val="32"/>
          <w:lang w:bidi="ar"/>
        </w:rPr>
        <w:t>0254</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国际商务</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0255</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保险</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0256</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资产评估</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0257</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审计</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0351</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法律</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0352</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社会工作</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0353</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警务</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0451</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045101</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教育管理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045102</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学科教学（思政）</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045103</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学科教学（语文）</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045104</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学科教学（数学）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045105</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学科教学（物理）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045106</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学科教学（化学）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045107</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学科教学（生物）</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045108</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学科教学（英语）</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045109</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学科教学（历史）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045110</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学科教学（地理）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045111</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学科教学（音乐）</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045112</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学科教学（体育）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045113</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学科教学（美术）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045114</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现代教育技术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045115</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小学教育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045116</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心理健康教育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045117</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科学与技术教育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045118</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学前教育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045119</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特殊教育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045120</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职业技术教育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045171</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学校课程与教学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045172</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学生发展与教育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045173</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教育领导与管理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ascii="Times New Roman" w:hAnsi="Times New Roman" w:eastAsia="方正仿宋简体" w:cs="Times New Roman"/>
          <w:color w:val="000000"/>
          <w:kern w:val="0"/>
          <w:sz w:val="32"/>
          <w:szCs w:val="32"/>
          <w:lang w:bidi="ar"/>
        </w:rPr>
        <w:t>045174</w:t>
      </w:r>
      <w:r>
        <w:rPr>
          <w:rFonts w:ascii="Times New Roman" w:hAnsi="Times New Roman" w:eastAsia="方正仿宋简体" w:cs="Times New Roman"/>
          <w:color w:val="000000"/>
          <w:kern w:val="0"/>
          <w:sz w:val="32"/>
          <w:szCs w:val="32"/>
          <w:lang w:bidi="ar"/>
        </w:rPr>
        <w:tab/>
      </w:r>
      <w:r>
        <w:rPr>
          <w:rFonts w:ascii="Times New Roman" w:hAnsi="Times New Roman" w:eastAsia="方正仿宋简体" w:cs="Times New Roman"/>
          <w:color w:val="000000"/>
          <w:kern w:val="0"/>
          <w:sz w:val="32"/>
          <w:szCs w:val="32"/>
          <w:lang w:bidi="ar"/>
        </w:rPr>
        <w:t>汉语国际教育</w:t>
      </w:r>
    </w:p>
    <w:p>
      <w:pPr>
        <w:widowControl/>
        <w:spacing w:line="560" w:lineRule="exact"/>
        <w:ind w:left="1050" w:leftChars="500"/>
        <w:jc w:val="left"/>
        <w:textAlignment w:val="center"/>
        <w:rPr>
          <w:rFonts w:ascii="黑体" w:hAnsi="黑体" w:eastAsia="黑体" w:cs="Times New Roman"/>
          <w:color w:val="000000"/>
          <w:kern w:val="0"/>
          <w:sz w:val="32"/>
          <w:szCs w:val="32"/>
          <w:lang w:bidi="ar"/>
        </w:rPr>
      </w:pPr>
      <w:r>
        <w:rPr>
          <w:rFonts w:hint="eastAsia" w:ascii="黑体" w:hAnsi="黑体" w:eastAsia="黑体" w:cs="Times New Roman"/>
          <w:color w:val="000000"/>
          <w:kern w:val="0"/>
          <w:sz w:val="32"/>
          <w:szCs w:val="32"/>
          <w:lang w:bidi="ar"/>
        </w:rPr>
        <w:t>注:</w:t>
      </w:r>
      <w:r>
        <w:rPr>
          <w:rFonts w:ascii="Times New Roman" w:hAnsi="Times New Roman" w:eastAsia="黑体" w:cs="Times New Roman"/>
          <w:color w:val="000000"/>
          <w:kern w:val="0"/>
          <w:sz w:val="32"/>
          <w:szCs w:val="32"/>
          <w:lang w:bidi="ar"/>
        </w:rPr>
        <w:t>045171、045172、045173、045174</w:t>
      </w:r>
      <w:r>
        <w:rPr>
          <w:rFonts w:hint="eastAsia" w:ascii="黑体" w:hAnsi="黑体" w:eastAsia="黑体" w:cs="Times New Roman"/>
          <w:color w:val="000000"/>
          <w:kern w:val="0"/>
          <w:sz w:val="32"/>
          <w:szCs w:val="32"/>
          <w:lang w:bidi="ar"/>
        </w:rPr>
        <w:t>仅限博士层次。</w:t>
      </w:r>
    </w:p>
    <w:p>
      <w:pPr>
        <w:widowControl/>
        <w:spacing w:line="560" w:lineRule="exact"/>
        <w:ind w:left="1050" w:leftChars="500"/>
        <w:jc w:val="left"/>
        <w:textAlignment w:val="center"/>
        <w:rPr>
          <w:rFonts w:ascii="黑体" w:hAnsi="黑体" w:eastAsia="黑体" w:cs="Times New Roman"/>
          <w:color w:val="000000"/>
          <w:kern w:val="0"/>
          <w:sz w:val="32"/>
          <w:szCs w:val="32"/>
          <w:lang w:bidi="ar"/>
        </w:rPr>
      </w:pP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0452</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体育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045201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体育教学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045202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运动训练</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045203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竞赛组织管理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045204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社会体育指导</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0453</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汉语国际教育</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0454</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应用心理</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0551</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翻译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英语笔译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英语口译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俄语笔译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俄语口译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日语笔译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日语口译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法语笔译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法语口译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055109</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德语笔译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055110</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德语口译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朝鲜语笔译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朝鲜语口译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西班牙语笔译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西班牙语口译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阿拉伯语笔译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阿拉伯语口译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泰语笔译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泰语口译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055119</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意大利语笔译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055120</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意大利语口译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055121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越南语笔译</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055122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越南语口译</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0552</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新闻与传播</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0553</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出版</w:t>
      </w:r>
      <w:r>
        <w:rPr>
          <w:rFonts w:ascii="方正小标宋简体" w:hAnsi="方正小标宋简体" w:eastAsia="方正小标宋简体" w:cs="方正小标宋简体"/>
          <w:color w:val="000000"/>
          <w:kern w:val="0"/>
          <w:sz w:val="32"/>
          <w:szCs w:val="32"/>
          <w:lang w:bidi="ar"/>
        </w:rPr>
        <w:tab/>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0651</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文物与博物馆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065101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考古学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065102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博物馆学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065103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文化遗产</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065104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文物保护</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0851</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建筑学</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0853</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城市规划</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方正小标宋简体" w:hAnsi="方正小标宋简体" w:eastAsia="方正小标宋简体" w:cs="方正小标宋简体"/>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0854</w:t>
      </w:r>
      <w:r>
        <w:rPr>
          <w:rFonts w:hint="eastAsia" w:ascii="方正小标宋简体" w:hAnsi="方正小标宋简体" w:eastAsia="方正小标宋简体" w:cs="方正小标宋简体"/>
          <w:color w:val="000000"/>
          <w:kern w:val="0"/>
          <w:sz w:val="32"/>
          <w:szCs w:val="32"/>
          <w:lang w:bidi="ar"/>
        </w:rPr>
        <w:tab/>
      </w:r>
      <w:r>
        <w:rPr>
          <w:rFonts w:hint="eastAsia" w:ascii="黑体" w:hAnsi="黑体" w:eastAsia="黑体" w:cs="方正小标宋简体"/>
          <w:color w:val="000000"/>
          <w:kern w:val="0"/>
          <w:sz w:val="32"/>
          <w:szCs w:val="32"/>
          <w:lang w:bidi="ar"/>
        </w:rPr>
        <w:t>电子信息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新一代电子信息技术（含量子技术等）</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通信工程（含宽带网络、移动通信等）</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集成电路工程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计算机技术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软件工程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控制工程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仪器仪表工程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光电信息工程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085409</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生物医学工程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085410</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人工智能</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085411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大数据技术与工程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085412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网络与信息安全</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0855</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机械</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机械工程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车辆工程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航空工程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航天工程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船舶工程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兵器工程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工业设计工程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农机装备工程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085509</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智能制造技术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085510</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机器人工程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0856</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材料与化工</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085601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材料工程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085602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化学工程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085603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冶金工程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085604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纺织工程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085605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林业工程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085606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轻化工程（含皮革、纸张、织物加工等）</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0857</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资源与环境</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085701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环境工程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085702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安全工程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085703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地质工程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085704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测绘工程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085705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矿业工程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085706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石油与天然气工程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0858</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能源动力</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电气工程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动力工程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核能工程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航空发动机工程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燃气轮机工程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航天动力工程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清洁能源技术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085808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储能技术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0859</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土木水利</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085901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土木工程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085902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水利工程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085903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海洋工程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085904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农田水土工程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085905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市政工程（含给排水等）</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085906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人工环境工程（含供热、通风及空调等）</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0860</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生物与医药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086001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生物技术与工程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086002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制药工程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086003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食品工程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086004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发酵工程</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0861</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交通运输</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086101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轨道交通运输</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086102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道路交通运输</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086103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水路交通运输</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086104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航空交通运输</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086105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管道交通运输</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0951</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农业</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农艺与种业</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资源利用与植物保护</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畜牧</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渔业发展</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食品加工与安全</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农业工程与信息技术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农业管理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095138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农村发展</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0952</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兽医</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0953</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风景园林</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0954</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林业</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1051</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临床医学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内科学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儿科学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老年医学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神经病学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精神病与精神卫生学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皮肤病与性病学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急诊医学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重症医学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105109</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全科医学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105110</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康复医学与理疗学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外科学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儿外科学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骨科学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运动医学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妇产科学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眼科学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耳鼻咽喉科学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麻醉学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105119</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临床病理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105120</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临床检验诊断学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105121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肿瘤学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105122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放射肿瘤学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105123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放射影像学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105124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超声医学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105125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核医学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105126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医学遗传学</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1052</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口腔医学</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1053</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公共卫生</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1054</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护理</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1055</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药学</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1056</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中药学</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1057</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中医</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1251</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工商管理</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1252</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公共管理</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1253</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会计</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1254</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旅游管理</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1255</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图书情报</w:t>
      </w:r>
    </w:p>
    <w:p>
      <w:pPr>
        <w:widowControl/>
        <w:spacing w:line="560" w:lineRule="exact"/>
        <w:ind w:left="1050" w:leftChars="500"/>
        <w:jc w:val="left"/>
        <w:textAlignment w:val="center"/>
        <w:rPr>
          <w:rFonts w:ascii="方正仿宋简体" w:hAnsi="方正仿宋简体" w:eastAsia="方正仿宋简体" w:cs="方正小标宋简体"/>
          <w:color w:val="000000"/>
          <w:kern w:val="0"/>
          <w:sz w:val="32"/>
          <w:szCs w:val="32"/>
          <w:lang w:bidi="ar"/>
        </w:rPr>
      </w:pPr>
      <w:r>
        <w:rPr>
          <w:rFonts w:hint="eastAsia" w:ascii="方正仿宋简体" w:hAnsi="方正仿宋简体" w:eastAsia="方正仿宋简体" w:cs="方正小标宋简体"/>
          <w:color w:val="000000"/>
          <w:kern w:val="0"/>
          <w:sz w:val="32"/>
          <w:szCs w:val="32"/>
          <w:lang w:bidi="ar"/>
        </w:rPr>
        <w:t>（不分设领域）</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1256</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工程管理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125601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工程管理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125602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项目管理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125603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工业工程与管理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125604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物流工程与管理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小标宋简体" w:cs="Times New Roman"/>
          <w:b/>
          <w:bCs/>
          <w:color w:val="000000"/>
          <w:kern w:val="0"/>
          <w:sz w:val="32"/>
          <w:szCs w:val="32"/>
          <w:lang w:bidi="ar"/>
        </w:rPr>
        <w:t>1351</w:t>
      </w:r>
      <w:r>
        <w:rPr>
          <w:rFonts w:hint="eastAsia" w:ascii="Times New Roman" w:hAnsi="Times New Roman" w:eastAsia="方正仿宋简体" w:cs="Times New Roman"/>
          <w:color w:val="000000"/>
          <w:kern w:val="0"/>
          <w:sz w:val="32"/>
          <w:szCs w:val="32"/>
          <w:lang w:bidi="ar"/>
        </w:rPr>
        <w:tab/>
      </w:r>
      <w:r>
        <w:rPr>
          <w:rFonts w:hint="eastAsia" w:ascii="黑体" w:hAnsi="黑体" w:eastAsia="黑体" w:cs="方正小标宋简体"/>
          <w:color w:val="000000"/>
          <w:kern w:val="0"/>
          <w:sz w:val="32"/>
          <w:szCs w:val="32"/>
          <w:lang w:bidi="ar"/>
        </w:rPr>
        <w:t>艺术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135101</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音乐</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135102</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戏剧</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135103</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戏曲</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135104</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电影</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135105</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广播电视</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135106</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舞蹈</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135107</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美术</w:t>
      </w:r>
    </w:p>
    <w:p>
      <w:pPr>
        <w:widowControl/>
        <w:spacing w:line="560" w:lineRule="exact"/>
        <w:ind w:left="1050" w:leftChars="500"/>
        <w:jc w:val="left"/>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135108</w:t>
      </w:r>
      <w:r>
        <w:rPr>
          <w:rFonts w:hint="eastAsia" w:ascii="Times New Roman" w:hAnsi="Times New Roman" w:eastAsia="方正仿宋简体" w:cs="Times New Roman"/>
          <w:color w:val="000000"/>
          <w:kern w:val="0"/>
          <w:sz w:val="32"/>
          <w:szCs w:val="32"/>
          <w:lang w:bidi="ar"/>
        </w:rPr>
        <w:tab/>
      </w:r>
      <w:r>
        <w:rPr>
          <w:rFonts w:hint="eastAsia" w:ascii="Times New Roman" w:hAnsi="Times New Roman" w:eastAsia="方正仿宋简体" w:cs="Times New Roman"/>
          <w:color w:val="000000"/>
          <w:kern w:val="0"/>
          <w:sz w:val="32"/>
          <w:szCs w:val="32"/>
          <w:lang w:bidi="ar"/>
        </w:rPr>
        <w:t>艺术设计</w:t>
      </w:r>
    </w:p>
    <w:sectPr>
      <w:footerReference r:id="rId3" w:type="default"/>
      <w:type w:val="continuous"/>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745263"/>
      <w:docPartObj>
        <w:docPartGallery w:val="autotext"/>
      </w:docPartObj>
    </w:sdtPr>
    <w:sdtEndPr>
      <w:rPr>
        <w:rFonts w:ascii="Times New Roman" w:hAnsi="Times New Roman" w:cs="Times New Roman"/>
        <w:sz w:val="22"/>
        <w:szCs w:val="22"/>
      </w:rPr>
    </w:sdtEndPr>
    <w:sdtContent>
      <w:p>
        <w:pPr>
          <w:pStyle w:val="4"/>
          <w:jc w:val="center"/>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PAGE   \* MERGEFORMAT</w:instrText>
        </w:r>
        <w:r>
          <w:rPr>
            <w:rFonts w:ascii="Times New Roman" w:hAnsi="Times New Roman" w:cs="Times New Roman"/>
            <w:sz w:val="22"/>
            <w:szCs w:val="22"/>
          </w:rPr>
          <w:fldChar w:fldCharType="separate"/>
        </w:r>
        <w:r>
          <w:rPr>
            <w:rFonts w:ascii="Times New Roman" w:hAnsi="Times New Roman" w:cs="Times New Roman"/>
            <w:sz w:val="22"/>
            <w:szCs w:val="22"/>
            <w:lang w:val="zh-CN"/>
          </w:rPr>
          <w:t>2</w:t>
        </w:r>
        <w:r>
          <w:rPr>
            <w:rFonts w:ascii="Times New Roman" w:hAnsi="Times New Roman" w:cs="Times New Roman"/>
            <w:sz w:val="22"/>
            <w:szCs w:val="22"/>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307"/>
    <w:rsid w:val="0001697A"/>
    <w:rsid w:val="000746F2"/>
    <w:rsid w:val="0008511F"/>
    <w:rsid w:val="00095DAE"/>
    <w:rsid w:val="00097520"/>
    <w:rsid w:val="000B1B40"/>
    <w:rsid w:val="00130DE2"/>
    <w:rsid w:val="00130F6D"/>
    <w:rsid w:val="0013182E"/>
    <w:rsid w:val="00145D17"/>
    <w:rsid w:val="00187CF7"/>
    <w:rsid w:val="001944DE"/>
    <w:rsid w:val="001A4844"/>
    <w:rsid w:val="00256F5C"/>
    <w:rsid w:val="00257C47"/>
    <w:rsid w:val="0029792E"/>
    <w:rsid w:val="002A1069"/>
    <w:rsid w:val="002A58EB"/>
    <w:rsid w:val="002B4A82"/>
    <w:rsid w:val="002E033A"/>
    <w:rsid w:val="002E5E48"/>
    <w:rsid w:val="002F6872"/>
    <w:rsid w:val="00320404"/>
    <w:rsid w:val="003310D9"/>
    <w:rsid w:val="00344307"/>
    <w:rsid w:val="00372B00"/>
    <w:rsid w:val="003A097C"/>
    <w:rsid w:val="003C2EF5"/>
    <w:rsid w:val="003C60B5"/>
    <w:rsid w:val="003D5C5F"/>
    <w:rsid w:val="003F60DF"/>
    <w:rsid w:val="00401D59"/>
    <w:rsid w:val="00467246"/>
    <w:rsid w:val="004B15CC"/>
    <w:rsid w:val="004F5873"/>
    <w:rsid w:val="005163D7"/>
    <w:rsid w:val="00531DB7"/>
    <w:rsid w:val="00553107"/>
    <w:rsid w:val="00553B42"/>
    <w:rsid w:val="005574B8"/>
    <w:rsid w:val="005656E6"/>
    <w:rsid w:val="00620EA0"/>
    <w:rsid w:val="00625548"/>
    <w:rsid w:val="006346EE"/>
    <w:rsid w:val="00662696"/>
    <w:rsid w:val="0068439B"/>
    <w:rsid w:val="006B08F3"/>
    <w:rsid w:val="006C7F65"/>
    <w:rsid w:val="006D4927"/>
    <w:rsid w:val="006F2436"/>
    <w:rsid w:val="00704922"/>
    <w:rsid w:val="00730594"/>
    <w:rsid w:val="00740A9A"/>
    <w:rsid w:val="00753D25"/>
    <w:rsid w:val="00785067"/>
    <w:rsid w:val="007965AE"/>
    <w:rsid w:val="007A0587"/>
    <w:rsid w:val="007D17C4"/>
    <w:rsid w:val="008226D0"/>
    <w:rsid w:val="00835D49"/>
    <w:rsid w:val="00837D0C"/>
    <w:rsid w:val="0089501E"/>
    <w:rsid w:val="008B314A"/>
    <w:rsid w:val="008B48A5"/>
    <w:rsid w:val="008B5308"/>
    <w:rsid w:val="0092692A"/>
    <w:rsid w:val="00995459"/>
    <w:rsid w:val="009B192F"/>
    <w:rsid w:val="009D6A09"/>
    <w:rsid w:val="009F0EC2"/>
    <w:rsid w:val="009F21B6"/>
    <w:rsid w:val="00A32484"/>
    <w:rsid w:val="00A5373B"/>
    <w:rsid w:val="00A55037"/>
    <w:rsid w:val="00A91FCA"/>
    <w:rsid w:val="00AA083E"/>
    <w:rsid w:val="00AC169F"/>
    <w:rsid w:val="00AE0FF0"/>
    <w:rsid w:val="00AE25A5"/>
    <w:rsid w:val="00B02155"/>
    <w:rsid w:val="00B07033"/>
    <w:rsid w:val="00BA6890"/>
    <w:rsid w:val="00BA69CD"/>
    <w:rsid w:val="00BB692C"/>
    <w:rsid w:val="00BD3D98"/>
    <w:rsid w:val="00BE0191"/>
    <w:rsid w:val="00C16FA7"/>
    <w:rsid w:val="00C738A8"/>
    <w:rsid w:val="00D43EBD"/>
    <w:rsid w:val="00D44219"/>
    <w:rsid w:val="00D6120D"/>
    <w:rsid w:val="00D7075C"/>
    <w:rsid w:val="00DA62D6"/>
    <w:rsid w:val="00DC7E27"/>
    <w:rsid w:val="00DD44FC"/>
    <w:rsid w:val="00DE3C68"/>
    <w:rsid w:val="00E05BF2"/>
    <w:rsid w:val="00E12E05"/>
    <w:rsid w:val="00E16436"/>
    <w:rsid w:val="00E269D7"/>
    <w:rsid w:val="00E273F0"/>
    <w:rsid w:val="00E47F35"/>
    <w:rsid w:val="00E56EED"/>
    <w:rsid w:val="00E57D74"/>
    <w:rsid w:val="00E92FCB"/>
    <w:rsid w:val="00EB743A"/>
    <w:rsid w:val="00EC6C34"/>
    <w:rsid w:val="00EF1137"/>
    <w:rsid w:val="00F15AF1"/>
    <w:rsid w:val="00F15BCA"/>
    <w:rsid w:val="00F27536"/>
    <w:rsid w:val="00F53CC1"/>
    <w:rsid w:val="00F741F9"/>
    <w:rsid w:val="00F80417"/>
    <w:rsid w:val="00FE7863"/>
    <w:rsid w:val="00FF097F"/>
    <w:rsid w:val="00FF3702"/>
    <w:rsid w:val="2A8D1562"/>
    <w:rsid w:val="2E8C1026"/>
    <w:rsid w:val="3D264CAB"/>
    <w:rsid w:val="42EA12E1"/>
    <w:rsid w:val="4A57225A"/>
    <w:rsid w:val="658D5E37"/>
    <w:rsid w:val="6C81303F"/>
    <w:rsid w:val="6EDC601E"/>
    <w:rsid w:val="74F244D8"/>
    <w:rsid w:val="7F1E1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uiPriority w:val="0"/>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9">
    <w:name w:val="font91"/>
    <w:basedOn w:val="8"/>
    <w:qFormat/>
    <w:uiPriority w:val="0"/>
    <w:rPr>
      <w:rFonts w:hint="eastAsia" w:ascii="方正仿宋简体" w:hAnsi="方正仿宋简体" w:eastAsia="方正仿宋简体" w:cs="方正仿宋简体"/>
      <w:color w:val="000000"/>
      <w:sz w:val="24"/>
      <w:szCs w:val="24"/>
      <w:u w:val="none"/>
    </w:rPr>
  </w:style>
  <w:style w:type="character" w:customStyle="1" w:styleId="10">
    <w:name w:val="font01"/>
    <w:basedOn w:val="8"/>
    <w:qFormat/>
    <w:uiPriority w:val="0"/>
    <w:rPr>
      <w:rFonts w:hint="default" w:ascii="等线" w:hAnsi="等线" w:eastAsia="等线" w:cs="等线"/>
      <w:color w:val="000000"/>
      <w:sz w:val="24"/>
      <w:szCs w:val="24"/>
      <w:u w:val="none"/>
    </w:rPr>
  </w:style>
  <w:style w:type="character" w:customStyle="1" w:styleId="11">
    <w:name w:val="font12"/>
    <w:basedOn w:val="8"/>
    <w:qFormat/>
    <w:uiPriority w:val="0"/>
    <w:rPr>
      <w:rFonts w:hint="eastAsia" w:ascii="方正仿宋简体" w:hAnsi="方正仿宋简体" w:eastAsia="方正仿宋简体" w:cs="方正仿宋简体"/>
      <w:color w:val="000000"/>
      <w:sz w:val="24"/>
      <w:szCs w:val="24"/>
      <w:u w:val="none"/>
    </w:rPr>
  </w:style>
  <w:style w:type="character" w:customStyle="1" w:styleId="12">
    <w:name w:val="font31"/>
    <w:basedOn w:val="8"/>
    <w:qFormat/>
    <w:uiPriority w:val="0"/>
    <w:rPr>
      <w:rFonts w:hint="default" w:ascii="Times New Roman" w:hAnsi="Times New Roman" w:cs="Times New Roman"/>
      <w:color w:val="000000"/>
      <w:sz w:val="24"/>
      <w:szCs w:val="24"/>
      <w:u w:val="none"/>
    </w:rPr>
  </w:style>
  <w:style w:type="character" w:customStyle="1" w:styleId="13">
    <w:name w:val="批注框文本 字符"/>
    <w:basedOn w:val="8"/>
    <w:link w:val="3"/>
    <w:qFormat/>
    <w:uiPriority w:val="0"/>
    <w:rPr>
      <w:rFonts w:asciiTheme="minorHAnsi" w:hAnsiTheme="minorHAnsi" w:eastAsiaTheme="minorEastAsia" w:cstheme="minorBidi"/>
      <w:kern w:val="2"/>
      <w:sz w:val="18"/>
      <w:szCs w:val="18"/>
    </w:rPr>
  </w:style>
  <w:style w:type="character" w:customStyle="1" w:styleId="14">
    <w:name w:val="页眉 字符"/>
    <w:basedOn w:val="8"/>
    <w:link w:val="5"/>
    <w:qFormat/>
    <w:uiPriority w:val="0"/>
    <w:rPr>
      <w:rFonts w:asciiTheme="minorHAnsi" w:hAnsiTheme="minorHAnsi" w:eastAsiaTheme="minorEastAsia" w:cstheme="minorBidi"/>
      <w:kern w:val="2"/>
      <w:sz w:val="18"/>
      <w:szCs w:val="18"/>
    </w:rPr>
  </w:style>
  <w:style w:type="character" w:customStyle="1" w:styleId="15">
    <w:name w:val="页脚 字符"/>
    <w:basedOn w:val="8"/>
    <w:link w:val="4"/>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0CA49D-77A4-404D-83AE-0E8A492798C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422</Words>
  <Characters>2407</Characters>
  <Lines>20</Lines>
  <Paragraphs>5</Paragraphs>
  <TotalTime>8</TotalTime>
  <ScaleCrop>false</ScaleCrop>
  <LinksUpToDate>false</LinksUpToDate>
  <CharactersWithSpaces>2824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2020-12-30T00:18:00Z</dcterms:created>
  <dc:creator>oubaigang</dc:creator>
  <cp:lastModifiedBy>Administrator</cp:lastModifiedBy>
  <cp:lastPrinted>2020-12-30T09:14:00Z</cp:lastPrinted>
  <dcterms:modified xsi:type="dcterms:W3CDTF">2022-03-01T07:17:43Z</dcterms:modified>
  <cp:revision>147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B9FB6490992643B0ABD11435F65F4DA3</vt:lpwstr>
  </property>
</Properties>
</file>